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338"/>
        <w:gridCol w:w="8008"/>
      </w:tblGrid>
      <w:tr w:rsidR="006F7289" w:rsidTr="00321AFE">
        <w:tc>
          <w:tcPr>
            <w:tcW w:w="10346" w:type="dxa"/>
            <w:gridSpan w:val="2"/>
          </w:tcPr>
          <w:p w:rsidR="006F7289" w:rsidRDefault="006F7289" w:rsidP="00321AFE">
            <w:pPr>
              <w:pStyle w:val="Hlavika"/>
              <w:rPr>
                <w:sz w:val="10"/>
              </w:rPr>
            </w:pPr>
            <w:r>
              <w:rPr>
                <w:noProof/>
                <w:sz w:val="10"/>
              </w:rPr>
              <w:drawing>
                <wp:inline distT="0" distB="0" distL="0" distR="0">
                  <wp:extent cx="6477000" cy="152400"/>
                  <wp:effectExtent l="0" t="0" r="0" b="0"/>
                  <wp:docPr id="13" name="Obrázo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7289" w:rsidTr="00321AFE">
        <w:tc>
          <w:tcPr>
            <w:tcW w:w="10346" w:type="dxa"/>
            <w:gridSpan w:val="2"/>
          </w:tcPr>
          <w:p w:rsidR="006F7289" w:rsidRDefault="006F7289" w:rsidP="00321AFE">
            <w:pPr>
              <w:pStyle w:val="Hlavika"/>
              <w:rPr>
                <w:sz w:val="10"/>
              </w:rPr>
            </w:pPr>
          </w:p>
        </w:tc>
      </w:tr>
      <w:tr w:rsidR="006F7289" w:rsidTr="00321AFE">
        <w:tblPrEx>
          <w:tblCellMar>
            <w:left w:w="70" w:type="dxa"/>
            <w:right w:w="70" w:type="dxa"/>
          </w:tblCellMar>
        </w:tblPrEx>
        <w:tc>
          <w:tcPr>
            <w:tcW w:w="2338" w:type="dxa"/>
          </w:tcPr>
          <w:p w:rsidR="006F7289" w:rsidRDefault="006F7289" w:rsidP="00321AFE">
            <w:pPr>
              <w:rPr>
                <w:b/>
                <w:sz w:val="31"/>
              </w:rPr>
            </w:pPr>
            <w:r>
              <w:rPr>
                <w:b/>
                <w:sz w:val="31"/>
              </w:rPr>
              <w:t xml:space="preserve">Montážne </w:t>
            </w:r>
          </w:p>
          <w:p w:rsidR="006F7289" w:rsidRDefault="006F7289" w:rsidP="00321AFE">
            <w:pPr>
              <w:pStyle w:val="Hlavika"/>
              <w:rPr>
                <w:sz w:val="19"/>
              </w:rPr>
            </w:pPr>
            <w:r>
              <w:rPr>
                <w:b/>
                <w:sz w:val="31"/>
              </w:rPr>
              <w:t xml:space="preserve">pokyny </w:t>
            </w:r>
            <w:r>
              <w:rPr>
                <w:b/>
                <w:noProof/>
                <w:sz w:val="31"/>
              </w:rPr>
              <w:drawing>
                <wp:inline distT="0" distB="0" distL="0" distR="0">
                  <wp:extent cx="1400175" cy="104775"/>
                  <wp:effectExtent l="0" t="0" r="9525" b="9525"/>
                  <wp:docPr id="12" name="Obrázo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8" w:type="dxa"/>
          </w:tcPr>
          <w:p w:rsidR="006F7289" w:rsidRDefault="006F7289" w:rsidP="00321AFE">
            <w:pPr>
              <w:pStyle w:val="Hlavika"/>
              <w:rPr>
                <w:sz w:val="19"/>
              </w:rPr>
            </w:pPr>
          </w:p>
        </w:tc>
      </w:tr>
      <w:tr w:rsidR="006F7289" w:rsidTr="00321AFE">
        <w:tblPrEx>
          <w:tblCellMar>
            <w:left w:w="70" w:type="dxa"/>
            <w:right w:w="70" w:type="dxa"/>
          </w:tblCellMar>
        </w:tblPrEx>
        <w:tc>
          <w:tcPr>
            <w:tcW w:w="2338" w:type="dxa"/>
          </w:tcPr>
          <w:p w:rsidR="006F7289" w:rsidRDefault="006F7289" w:rsidP="00321AFE">
            <w:pPr>
              <w:rPr>
                <w:b/>
                <w:sz w:val="10"/>
              </w:rPr>
            </w:pPr>
          </w:p>
        </w:tc>
        <w:tc>
          <w:tcPr>
            <w:tcW w:w="8008" w:type="dxa"/>
          </w:tcPr>
          <w:p w:rsidR="006F7289" w:rsidRDefault="006F7289" w:rsidP="00321AFE">
            <w:pPr>
              <w:pStyle w:val="Hlavika"/>
              <w:rPr>
                <w:sz w:val="10"/>
              </w:rPr>
            </w:pPr>
          </w:p>
        </w:tc>
      </w:tr>
    </w:tbl>
    <w:p w:rsidR="006F7289" w:rsidRDefault="006F7289" w:rsidP="006F7289">
      <w:pPr>
        <w:widowControl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5"/>
        <w:gridCol w:w="4075"/>
        <w:gridCol w:w="133"/>
        <w:gridCol w:w="27"/>
        <w:gridCol w:w="2034"/>
        <w:gridCol w:w="10"/>
      </w:tblGrid>
      <w:tr w:rsidR="006F7289" w:rsidTr="00321AFE">
        <w:trPr>
          <w:gridAfter w:val="1"/>
          <w:wAfter w:w="10" w:type="dxa"/>
        </w:trPr>
        <w:tc>
          <w:tcPr>
            <w:tcW w:w="4075" w:type="dxa"/>
          </w:tcPr>
          <w:p w:rsidR="006F7289" w:rsidRDefault="006F7289" w:rsidP="006F7289">
            <w:pPr>
              <w:numPr>
                <w:ilvl w:val="0"/>
                <w:numId w:val="1"/>
              </w:numPr>
              <w:ind w:left="238" w:hanging="238"/>
              <w:rPr>
                <w:rFonts w:ascii="Helvetica" w:hAnsi="Helvetica"/>
                <w:snapToGrid w:val="0"/>
                <w:color w:val="000000"/>
                <w:lang w:eastAsia="cs-CZ"/>
              </w:rPr>
            </w:pPr>
            <w:r>
              <w:rPr>
                <w:rFonts w:ascii="Helvetica" w:hAnsi="Helvetica"/>
                <w:snapToGrid w:val="0"/>
                <w:color w:val="000000"/>
                <w:lang w:eastAsia="cs-CZ"/>
              </w:rPr>
              <w:t>Zabezpečiť sklony pre odvodnenie.</w:t>
            </w:r>
          </w:p>
          <w:p w:rsidR="006F7289" w:rsidRDefault="006F7289" w:rsidP="006F7289">
            <w:pPr>
              <w:numPr>
                <w:ilvl w:val="0"/>
                <w:numId w:val="1"/>
              </w:numPr>
              <w:tabs>
                <w:tab w:val="clear" w:pos="360"/>
              </w:tabs>
              <w:ind w:left="238" w:hanging="238"/>
              <w:rPr>
                <w:rFonts w:ascii="Helvetica" w:hAnsi="Helvetica"/>
                <w:snapToGrid w:val="0"/>
                <w:color w:val="000000"/>
                <w:lang w:eastAsia="cs-CZ"/>
              </w:rPr>
            </w:pPr>
            <w:r>
              <w:t>Potrubie vyrovnať v osi podoprenia vo všetkých smeroch: dbať na vzdialenosti vedení potrubí podľa obrázku</w:t>
            </w:r>
            <w:r>
              <w:rPr>
                <w:rFonts w:ascii="Helvetica" w:hAnsi="Helvetica"/>
                <w:snapToGrid w:val="0"/>
                <w:color w:val="000000"/>
                <w:lang w:eastAsia="cs-CZ"/>
              </w:rPr>
              <w:t>.</w:t>
            </w:r>
          </w:p>
          <w:p w:rsidR="006F7289" w:rsidRDefault="006F7289" w:rsidP="00321AFE">
            <w:pPr>
              <w:rPr>
                <w:rFonts w:ascii="Helvetica-Bold" w:hAnsi="Helvetica-Bold"/>
                <w:b/>
                <w:snapToGrid w:val="0"/>
                <w:color w:val="000000"/>
                <w:lang w:eastAsia="cs-CZ"/>
              </w:rPr>
            </w:pPr>
            <w:r>
              <w:rPr>
                <w:rFonts w:ascii="Helvetica-Bold" w:hAnsi="Helvetica-Bold"/>
                <w:b/>
                <w:snapToGrid w:val="0"/>
                <w:color w:val="000000"/>
                <w:lang w:eastAsia="cs-CZ"/>
              </w:rPr>
              <w:t>POZNÁMKA</w:t>
            </w:r>
          </w:p>
          <w:p w:rsidR="006F7289" w:rsidRDefault="006F7289" w:rsidP="00321AFE">
            <w:r>
              <w:t xml:space="preserve">Najbezpečnejším uložením potrubí na ich ochranu voči vyhnutiu a nadvihnutiu sú </w:t>
            </w:r>
            <w:r>
              <w:br/>
              <w:t>klzné alebo valčekové uloženia</w:t>
            </w:r>
            <w:r>
              <w:rPr>
                <w:rFonts w:ascii="Helvetica" w:hAnsi="Helvetica"/>
                <w:snapToGrid w:val="0"/>
                <w:color w:val="000000"/>
                <w:lang w:eastAsia="cs-CZ"/>
              </w:rPr>
              <w:t>.</w:t>
            </w:r>
          </w:p>
        </w:tc>
        <w:tc>
          <w:tcPr>
            <w:tcW w:w="4208" w:type="dxa"/>
            <w:gridSpan w:val="2"/>
            <w:tcBorders>
              <w:right w:val="single" w:sz="6" w:space="0" w:color="auto"/>
            </w:tcBorders>
          </w:tcPr>
          <w:p w:rsidR="006F7289" w:rsidRPr="00C85C6F" w:rsidRDefault="006F7289" w:rsidP="00321AFE">
            <w:pPr>
              <w:rPr>
                <w:rFonts w:ascii="Helvetica-Bold" w:hAnsi="Helvetica-Bold"/>
                <w:b/>
                <w:snapToGrid w:val="0"/>
                <w:color w:val="000000"/>
                <w:sz w:val="24"/>
                <w:szCs w:val="24"/>
                <w:lang w:eastAsia="cs-CZ"/>
              </w:rPr>
            </w:pPr>
            <w:r w:rsidRPr="00C85C6F">
              <w:rPr>
                <w:rFonts w:ascii="Helvetica-Bold" w:hAnsi="Helvetica-Bold"/>
                <w:b/>
                <w:snapToGrid w:val="0"/>
                <w:color w:val="000000"/>
                <w:sz w:val="24"/>
                <w:szCs w:val="24"/>
                <w:lang w:eastAsia="cs-CZ"/>
              </w:rPr>
              <w:t>POZOR</w:t>
            </w:r>
          </w:p>
          <w:p w:rsidR="006F7289" w:rsidRPr="00C85C6F" w:rsidRDefault="006F7289" w:rsidP="00321AFE">
            <w:pPr>
              <w:rPr>
                <w:rFonts w:ascii="Helvetica-Bold" w:hAnsi="Helvetica-Bold"/>
                <w:b/>
                <w:snapToGrid w:val="0"/>
                <w:color w:val="000000"/>
                <w:sz w:val="24"/>
                <w:szCs w:val="24"/>
                <w:lang w:eastAsia="cs-CZ"/>
              </w:rPr>
            </w:pPr>
            <w:r w:rsidRPr="00C85C6F">
              <w:rPr>
                <w:rFonts w:ascii="Helvetica" w:hAnsi="Helvetica"/>
                <w:b/>
                <w:snapToGrid w:val="0"/>
                <w:color w:val="000000"/>
                <w:sz w:val="24"/>
                <w:szCs w:val="24"/>
                <w:lang w:eastAsia="cs-CZ"/>
              </w:rPr>
              <w:t xml:space="preserve">V oblasti kompenzátorov nie sú dovolené </w:t>
            </w:r>
            <w:r w:rsidRPr="00C85C6F">
              <w:rPr>
                <w:rFonts w:ascii="Helvetica" w:hAnsi="Helvetica"/>
                <w:b/>
                <w:snapToGrid w:val="0"/>
                <w:color w:val="000000"/>
                <w:sz w:val="24"/>
                <w:szCs w:val="24"/>
                <w:lang w:eastAsia="cs-CZ"/>
              </w:rPr>
              <w:br/>
              <w:t xml:space="preserve">výkyvné závesy! </w:t>
            </w:r>
          </w:p>
          <w:p w:rsidR="006F7289" w:rsidRDefault="006F7289" w:rsidP="00321AFE"/>
          <w:p w:rsidR="006F7289" w:rsidRDefault="006F7289" w:rsidP="00321AFE"/>
        </w:tc>
        <w:tc>
          <w:tcPr>
            <w:tcW w:w="2061" w:type="dxa"/>
            <w:gridSpan w:val="2"/>
            <w:tcBorders>
              <w:left w:val="nil"/>
            </w:tcBorders>
          </w:tcPr>
          <w:p w:rsidR="006F7289" w:rsidRDefault="006F7289" w:rsidP="00321AF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Vedenie potrubia</w:t>
            </w:r>
          </w:p>
          <w:p w:rsidR="006F7289" w:rsidRDefault="006F7289" w:rsidP="00321AF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Uloženie potrubia</w:t>
            </w:r>
          </w:p>
          <w:p w:rsidR="006F7289" w:rsidRDefault="006F7289" w:rsidP="00321AFE">
            <w:pPr>
              <w:rPr>
                <w:b/>
                <w:sz w:val="22"/>
              </w:rPr>
            </w:pPr>
          </w:p>
          <w:p w:rsidR="006F7289" w:rsidRDefault="006F7289" w:rsidP="00321AFE">
            <w:pPr>
              <w:rPr>
                <w:b/>
                <w:sz w:val="22"/>
              </w:rPr>
            </w:pPr>
          </w:p>
        </w:tc>
      </w:tr>
      <w:tr w:rsidR="006F7289" w:rsidTr="00321AFE">
        <w:tc>
          <w:tcPr>
            <w:tcW w:w="8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289" w:rsidRDefault="006F7289" w:rsidP="00321AFE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>
                  <wp:extent cx="5067300" cy="1076325"/>
                  <wp:effectExtent l="0" t="0" r="0" b="9525"/>
                  <wp:docPr id="11" name="Obrázo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7289" w:rsidRDefault="006F7289" w:rsidP="00321AFE">
            <w:pPr>
              <w:ind w:left="426" w:hanging="426"/>
              <w:rPr>
                <w:sz w:val="18"/>
              </w:rPr>
            </w:pPr>
            <w:r>
              <w:rPr>
                <w:sz w:val="18"/>
              </w:rPr>
              <w:t>L</w:t>
            </w:r>
            <w:r>
              <w:rPr>
                <w:sz w:val="18"/>
                <w:vertAlign w:val="subscript"/>
              </w:rPr>
              <w:t>1</w:t>
            </w:r>
            <w:r>
              <w:rPr>
                <w:sz w:val="18"/>
              </w:rPr>
              <w:t xml:space="preserve"> = </w:t>
            </w:r>
            <w:r>
              <w:rPr>
                <w:sz w:val="18"/>
              </w:rPr>
              <w:tab/>
              <w:t xml:space="preserve">max. 2 . DN + </w:t>
            </w:r>
            <w:r>
              <w:rPr>
                <w:sz w:val="18"/>
              </w:rPr>
              <w:sym w:font="Symbol" w:char="F044"/>
            </w:r>
            <w:r>
              <w:rPr>
                <w:sz w:val="18"/>
              </w:rPr>
              <w:t>/2   [mm]</w:t>
            </w:r>
          </w:p>
          <w:p w:rsidR="006F7289" w:rsidRDefault="006F7289" w:rsidP="00321AFE">
            <w:pPr>
              <w:ind w:left="426" w:hanging="426"/>
              <w:rPr>
                <w:sz w:val="18"/>
              </w:rPr>
            </w:pPr>
            <w:r>
              <w:rPr>
                <w:sz w:val="18"/>
              </w:rPr>
              <w:t>L</w:t>
            </w:r>
            <w:r>
              <w:rPr>
                <w:sz w:val="18"/>
                <w:vertAlign w:val="subscript"/>
              </w:rPr>
              <w:t>2</w:t>
            </w:r>
            <w:r>
              <w:rPr>
                <w:sz w:val="18"/>
              </w:rPr>
              <w:t xml:space="preserve"> = </w:t>
            </w:r>
            <w:r>
              <w:rPr>
                <w:sz w:val="18"/>
              </w:rPr>
              <w:tab/>
              <w:t>0,7 . L</w:t>
            </w:r>
            <w:r>
              <w:rPr>
                <w:sz w:val="18"/>
                <w:vertAlign w:val="subscript"/>
              </w:rPr>
              <w:t>3</w:t>
            </w:r>
            <w:r>
              <w:rPr>
                <w:sz w:val="18"/>
              </w:rPr>
              <w:t xml:space="preserve">     [mm]</w:t>
            </w:r>
          </w:p>
          <w:p w:rsidR="006F7289" w:rsidRDefault="006F7289" w:rsidP="00321AFE">
            <w:pPr>
              <w:ind w:left="426" w:hanging="426"/>
              <w:rPr>
                <w:sz w:val="18"/>
              </w:rPr>
            </w:pPr>
            <w:r>
              <w:rPr>
                <w:sz w:val="18"/>
              </w:rPr>
              <w:t>L</w:t>
            </w:r>
            <w:r>
              <w:rPr>
                <w:sz w:val="18"/>
                <w:vertAlign w:val="subscript"/>
              </w:rPr>
              <w:t>3</w:t>
            </w:r>
            <w:r>
              <w:rPr>
                <w:sz w:val="18"/>
              </w:rPr>
              <w:t xml:space="preserve"> = </w:t>
            </w:r>
            <w:r>
              <w:rPr>
                <w:sz w:val="18"/>
              </w:rPr>
              <w:tab/>
              <w:t xml:space="preserve">400 . </w:t>
            </w:r>
            <w:r>
              <w:rPr>
                <w:position w:val="-6"/>
                <w:sz w:val="18"/>
              </w:rPr>
              <w:object w:dxaOrig="46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25pt;height:15pt" o:ole="">
                  <v:imagedata r:id="rId8" o:title=""/>
                </v:shape>
                <o:OLEObject Type="Embed" ProgID="Equation.2" ShapeID="_x0000_i1025" DrawAspect="Content" ObjectID="_1542094791" r:id="rId9"/>
              </w:object>
            </w:r>
            <w:r>
              <w:rPr>
                <w:sz w:val="18"/>
              </w:rPr>
              <w:t xml:space="preserve"> [mm]   (smerná hodnota)</w:t>
            </w:r>
          </w:p>
          <w:p w:rsidR="006F7289" w:rsidRDefault="006F7289" w:rsidP="00321AFE">
            <w:pPr>
              <w:ind w:left="426" w:hanging="426"/>
              <w:rPr>
                <w:sz w:val="18"/>
              </w:rPr>
            </w:pPr>
            <w:r>
              <w:rPr>
                <w:sz w:val="18"/>
              </w:rPr>
              <w:sym w:font="Symbol" w:char="F044"/>
            </w:r>
            <w:r>
              <w:rPr>
                <w:sz w:val="18"/>
              </w:rPr>
              <w:t xml:space="preserve">  = </w:t>
            </w:r>
            <w:r>
              <w:rPr>
                <w:sz w:val="18"/>
              </w:rPr>
              <w:tab/>
              <w:t>dilatácia kompenzátora     [mm]</w:t>
            </w:r>
          </w:p>
          <w:p w:rsidR="006F7289" w:rsidRDefault="006F7289" w:rsidP="00321AFE">
            <w:pPr>
              <w:ind w:left="426" w:hanging="426"/>
              <w:rPr>
                <w:sz w:val="18"/>
              </w:rPr>
            </w:pPr>
          </w:p>
          <w:p w:rsidR="006F7289" w:rsidRDefault="006F7289" w:rsidP="00321AFE">
            <w:pPr>
              <w:rPr>
                <w:sz w:val="18"/>
              </w:rPr>
            </w:pPr>
            <w:r>
              <w:rPr>
                <w:sz w:val="18"/>
              </w:rPr>
              <w:t>L</w:t>
            </w:r>
            <w:r>
              <w:rPr>
                <w:sz w:val="18"/>
                <w:vertAlign w:val="subscript"/>
              </w:rPr>
              <w:t>3</w:t>
            </w:r>
            <w:r>
              <w:rPr>
                <w:sz w:val="18"/>
              </w:rPr>
              <w:t xml:space="preserve"> zodpovedá normálnej vzdialenosti uložení. Ak je obava z ohnutia (zlomenia) potrubia treba vzdialenosť L</w:t>
            </w:r>
            <w:r>
              <w:rPr>
                <w:sz w:val="18"/>
                <w:vertAlign w:val="subscript"/>
              </w:rPr>
              <w:t>3</w:t>
            </w:r>
            <w:r>
              <w:rPr>
                <w:sz w:val="18"/>
              </w:rPr>
              <w:t xml:space="preserve"> príslušne redukovať. </w:t>
            </w:r>
          </w:p>
          <w:p w:rsidR="006F7289" w:rsidRDefault="006F7289" w:rsidP="00321AFE">
            <w:pPr>
              <w:rPr>
                <w:sz w:val="18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6" w:space="0" w:color="auto"/>
            </w:tcBorders>
          </w:tcPr>
          <w:p w:rsidR="006F7289" w:rsidRDefault="006F7289" w:rsidP="00321AFE">
            <w:pPr>
              <w:jc w:val="center"/>
            </w:pPr>
          </w:p>
        </w:tc>
        <w:tc>
          <w:tcPr>
            <w:tcW w:w="2044" w:type="dxa"/>
            <w:gridSpan w:val="2"/>
            <w:tcBorders>
              <w:left w:val="nil"/>
            </w:tcBorders>
          </w:tcPr>
          <w:p w:rsidR="006F7289" w:rsidRDefault="006F7289" w:rsidP="00321AFE">
            <w:pPr>
              <w:rPr>
                <w:b/>
                <w:sz w:val="22"/>
              </w:rPr>
            </w:pPr>
          </w:p>
        </w:tc>
      </w:tr>
      <w:tr w:rsidR="006F7289" w:rsidTr="00321AFE">
        <w:tc>
          <w:tcPr>
            <w:tcW w:w="8150" w:type="dxa"/>
            <w:gridSpan w:val="2"/>
          </w:tcPr>
          <w:p w:rsidR="006F7289" w:rsidRDefault="006F7289" w:rsidP="00321AFE"/>
        </w:tc>
        <w:tc>
          <w:tcPr>
            <w:tcW w:w="160" w:type="dxa"/>
            <w:gridSpan w:val="2"/>
            <w:tcBorders>
              <w:right w:val="single" w:sz="6" w:space="0" w:color="auto"/>
            </w:tcBorders>
          </w:tcPr>
          <w:p w:rsidR="006F7289" w:rsidRDefault="006F7289" w:rsidP="00321AFE"/>
        </w:tc>
        <w:tc>
          <w:tcPr>
            <w:tcW w:w="2044" w:type="dxa"/>
            <w:gridSpan w:val="2"/>
            <w:tcBorders>
              <w:left w:val="nil"/>
            </w:tcBorders>
          </w:tcPr>
          <w:p w:rsidR="006F7289" w:rsidRDefault="006F7289" w:rsidP="00321AFE">
            <w:pPr>
              <w:rPr>
                <w:b/>
                <w:sz w:val="22"/>
              </w:rPr>
            </w:pPr>
          </w:p>
        </w:tc>
      </w:tr>
      <w:tr w:rsidR="006F7289" w:rsidTr="00321AFE">
        <w:tc>
          <w:tcPr>
            <w:tcW w:w="8150" w:type="dxa"/>
            <w:gridSpan w:val="2"/>
          </w:tcPr>
          <w:p w:rsidR="006F7289" w:rsidRDefault="006F7289" w:rsidP="00321AFE">
            <w:pPr>
              <w:ind w:left="-142"/>
            </w:pPr>
            <w:r>
              <w:rPr>
                <w:noProof/>
              </w:rPr>
              <w:drawing>
                <wp:inline distT="0" distB="0" distL="0" distR="0">
                  <wp:extent cx="5105400" cy="2571750"/>
                  <wp:effectExtent l="0" t="0" r="0" b="0"/>
                  <wp:docPr id="10" name="Obrázo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0" cy="257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7289" w:rsidRDefault="006F7289" w:rsidP="00321AFE">
            <w:r>
              <w:t>(platí iba pre oceľové potrubia)</w:t>
            </w:r>
          </w:p>
          <w:p w:rsidR="006F7289" w:rsidRDefault="006F7289" w:rsidP="00321AFE"/>
          <w:p w:rsidR="006F7289" w:rsidRDefault="006F7289" w:rsidP="00321AFE"/>
          <w:p w:rsidR="006F7289" w:rsidRDefault="006F7289" w:rsidP="00321AFE"/>
          <w:p w:rsidR="00F05948" w:rsidRPr="00F05948" w:rsidRDefault="00F05948" w:rsidP="00F05948">
            <w:pPr>
              <w:rPr>
                <w:rFonts w:cs="Arial"/>
                <w:b/>
                <w:bCs/>
                <w:sz w:val="28"/>
                <w:szCs w:val="28"/>
                <w:lang w:val="en-US"/>
              </w:rPr>
            </w:pPr>
            <w:r w:rsidRPr="00F05948">
              <w:rPr>
                <w:rFonts w:cs="Arial"/>
                <w:sz w:val="28"/>
                <w:szCs w:val="28"/>
                <w:lang w:val="en-US"/>
              </w:rPr>
              <w:t xml:space="preserve">Regulátory a kompenzátory Slovensko spol s r.o. </w:t>
            </w:r>
            <w:r w:rsidRPr="00F05948">
              <w:rPr>
                <w:rFonts w:cs="Arial"/>
                <w:sz w:val="28"/>
                <w:szCs w:val="28"/>
                <w:lang w:val="en-US"/>
              </w:rPr>
              <w:br/>
            </w:r>
            <w:proofErr w:type="spellStart"/>
            <w:r w:rsidRPr="00F05948">
              <w:rPr>
                <w:rFonts w:cs="Arial"/>
                <w:sz w:val="28"/>
                <w:szCs w:val="28"/>
                <w:lang w:val="en-US"/>
              </w:rPr>
              <w:t>Trenčianska</w:t>
            </w:r>
            <w:proofErr w:type="spellEnd"/>
            <w:r w:rsidRPr="00F05948">
              <w:rPr>
                <w:rFonts w:cs="Arial"/>
                <w:sz w:val="28"/>
                <w:szCs w:val="28"/>
                <w:lang w:val="en-US"/>
              </w:rPr>
              <w:t xml:space="preserve"> 57, SK-821 09 Bratislava </w:t>
            </w:r>
            <w:r w:rsidRPr="00F05948">
              <w:rPr>
                <w:rFonts w:cs="Arial"/>
                <w:b/>
                <w:bCs/>
                <w:sz w:val="28"/>
                <w:szCs w:val="28"/>
                <w:lang w:val="en-US"/>
              </w:rPr>
              <w:t>/RKG, IWKA/</w:t>
            </w:r>
          </w:p>
          <w:p w:rsidR="00F05948" w:rsidRPr="00F05948" w:rsidRDefault="00F05948" w:rsidP="00F05948">
            <w:pPr>
              <w:rPr>
                <w:rFonts w:cs="Arial"/>
                <w:b/>
                <w:lang w:val="en-US"/>
              </w:rPr>
            </w:pPr>
            <w:r w:rsidRPr="00F05948">
              <w:rPr>
                <w:b/>
                <w:sz w:val="16"/>
                <w:szCs w:val="16"/>
                <w:lang w:val="en-US"/>
              </w:rPr>
              <w:t> </w:t>
            </w:r>
            <w:r w:rsidRPr="00F05948">
              <w:rPr>
                <w:rFonts w:cs="Arial"/>
                <w:b/>
                <w:lang w:val="en-US"/>
              </w:rPr>
              <w:t>Ing. Jozef Krajčovič: 0903 635</w:t>
            </w:r>
            <w:r w:rsidRPr="00F05948">
              <w:rPr>
                <w:rFonts w:cs="Arial"/>
                <w:b/>
                <w:lang w:val="en-US"/>
              </w:rPr>
              <w:t> </w:t>
            </w:r>
            <w:r w:rsidRPr="00F05948">
              <w:rPr>
                <w:rFonts w:cs="Arial"/>
                <w:b/>
                <w:lang w:val="en-US"/>
              </w:rPr>
              <w:t>188</w:t>
            </w:r>
            <w:r w:rsidRPr="00F05948">
              <w:rPr>
                <w:rFonts w:cs="Arial"/>
                <w:b/>
                <w:lang w:val="en-US"/>
              </w:rPr>
              <w:t xml:space="preserve"> </w:t>
            </w:r>
            <w:r w:rsidRPr="00F05948">
              <w:rPr>
                <w:rFonts w:cs="Arial"/>
                <w:b/>
                <w:lang w:val="en-US"/>
              </w:rPr>
              <w:t xml:space="preserve">Tel./ fax: 02 / 5341 8124,  tel. 02/53 41 81 25, </w:t>
            </w:r>
          </w:p>
          <w:p w:rsidR="00F05948" w:rsidRPr="00F05948" w:rsidRDefault="00F05948" w:rsidP="00F05948">
            <w:pPr>
              <w:rPr>
                <w:b/>
                <w:lang w:val="de-DE"/>
              </w:rPr>
            </w:pPr>
            <w:r w:rsidRPr="00F05948">
              <w:rPr>
                <w:rFonts w:cs="Arial"/>
                <w:b/>
                <w:lang w:val="en-US"/>
              </w:rPr>
              <w:t>02/53 41 23 66</w:t>
            </w:r>
            <w:r w:rsidRPr="00F05948">
              <w:rPr>
                <w:rFonts w:cs="Arial"/>
                <w:b/>
                <w:lang w:val="en-US"/>
              </w:rPr>
              <w:t xml:space="preserve">              </w:t>
            </w:r>
            <w:proofErr w:type="spellStart"/>
            <w:r w:rsidRPr="00F05948">
              <w:rPr>
                <w:rFonts w:cs="Arial"/>
                <w:b/>
                <w:lang w:val="de-DE"/>
              </w:rPr>
              <w:t>e-mail</w:t>
            </w:r>
            <w:proofErr w:type="spellEnd"/>
            <w:r w:rsidRPr="00F05948">
              <w:rPr>
                <w:rFonts w:cs="Arial"/>
                <w:b/>
                <w:lang w:val="de-DE"/>
              </w:rPr>
              <w:t xml:space="preserve">: </w:t>
            </w:r>
            <w:hyperlink r:id="rId11" w:tooltip="mailto:rkg@rkg.sk" w:history="1">
              <w:r w:rsidRPr="00F05948">
                <w:rPr>
                  <w:rStyle w:val="Hypertextovprepojenie"/>
                  <w:rFonts w:cs="Arial"/>
                  <w:b/>
                  <w:lang w:val="de-DE"/>
                </w:rPr>
                <w:t>rkg@rkg.sk</w:t>
              </w:r>
            </w:hyperlink>
            <w:r w:rsidRPr="00F05948">
              <w:rPr>
                <w:b/>
                <w:lang w:val="de-DE"/>
              </w:rPr>
              <w:t xml:space="preserve">, </w:t>
            </w:r>
            <w:hyperlink r:id="rId12" w:history="1">
              <w:r w:rsidRPr="00F05948">
                <w:rPr>
                  <w:rStyle w:val="Hypertextovprepojenie"/>
                  <w:b/>
                  <w:lang w:val="de-DE"/>
                </w:rPr>
                <w:t>www.rkg.sk</w:t>
              </w:r>
            </w:hyperlink>
            <w:r w:rsidRPr="00F05948">
              <w:rPr>
                <w:b/>
                <w:lang w:val="de-DE"/>
              </w:rPr>
              <w:t xml:space="preserve">             </w:t>
            </w:r>
          </w:p>
          <w:p w:rsidR="00F05948" w:rsidRPr="00F05948" w:rsidRDefault="00F05948" w:rsidP="00F0594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05948">
              <w:rPr>
                <w:rFonts w:ascii="Verdana" w:hAnsi="Verdana"/>
                <w:color w:val="000000"/>
                <w:sz w:val="16"/>
                <w:szCs w:val="16"/>
              </w:rPr>
              <w:t>IČO 35775645, IČ DPH: SK 2020255512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          </w:t>
            </w:r>
            <w:r w:rsidRPr="00F05948">
              <w:rPr>
                <w:rFonts w:ascii="Verdana" w:hAnsi="Verdana"/>
                <w:color w:val="000000"/>
                <w:sz w:val="16"/>
                <w:szCs w:val="16"/>
              </w:rPr>
              <w:t>Účet v Tatrabanke č. ú. 2626191266/1100</w:t>
            </w:r>
          </w:p>
          <w:p w:rsidR="00F05948" w:rsidRPr="00F05948" w:rsidRDefault="00F05948" w:rsidP="00F05948">
            <w:pPr>
              <w:rPr>
                <w:rFonts w:ascii="Calibri" w:hAnsi="Calibri"/>
                <w:color w:val="1F497D"/>
                <w:sz w:val="16"/>
                <w:szCs w:val="16"/>
                <w:lang w:eastAsia="en-US"/>
              </w:rPr>
            </w:pPr>
            <w:r w:rsidRPr="00F05948">
              <w:rPr>
                <w:rFonts w:ascii="Calibri" w:hAnsi="Calibri"/>
                <w:color w:val="1F497D"/>
                <w:sz w:val="16"/>
                <w:szCs w:val="16"/>
                <w:lang w:eastAsia="en-US"/>
              </w:rPr>
              <w:t>IBAN SK67 1100 0000 0026 2619 1266</w:t>
            </w:r>
            <w:bookmarkStart w:id="0" w:name="_GoBack"/>
            <w:bookmarkEnd w:id="0"/>
          </w:p>
          <w:p w:rsidR="006F7289" w:rsidRDefault="006F7289" w:rsidP="00321AFE"/>
          <w:p w:rsidR="006F7289" w:rsidRDefault="006F7289" w:rsidP="00321AFE"/>
          <w:p w:rsidR="006F7289" w:rsidRDefault="006F7289" w:rsidP="00321AFE"/>
          <w:p w:rsidR="006F7289" w:rsidRDefault="006F7289" w:rsidP="00321AFE"/>
          <w:p w:rsidR="006F7289" w:rsidRDefault="006F7289" w:rsidP="00321AFE"/>
          <w:p w:rsidR="006F7289" w:rsidRDefault="006F7289" w:rsidP="00321AFE"/>
          <w:p w:rsidR="006F7289" w:rsidRDefault="006F7289" w:rsidP="00321AFE"/>
          <w:p w:rsidR="006F7289" w:rsidRDefault="006F7289" w:rsidP="00321AFE"/>
          <w:p w:rsidR="006F7289" w:rsidRDefault="006F7289" w:rsidP="00321AFE"/>
          <w:p w:rsidR="006F7289" w:rsidRDefault="006F7289" w:rsidP="00321AFE"/>
          <w:p w:rsidR="006F7289" w:rsidRDefault="006F7289" w:rsidP="00321AFE">
            <w:pPr>
              <w:ind w:left="-142"/>
            </w:pPr>
          </w:p>
        </w:tc>
        <w:tc>
          <w:tcPr>
            <w:tcW w:w="160" w:type="dxa"/>
            <w:gridSpan w:val="2"/>
            <w:tcBorders>
              <w:right w:val="single" w:sz="6" w:space="0" w:color="auto"/>
            </w:tcBorders>
          </w:tcPr>
          <w:p w:rsidR="006F7289" w:rsidRDefault="006F7289" w:rsidP="00321AFE"/>
        </w:tc>
        <w:tc>
          <w:tcPr>
            <w:tcW w:w="2044" w:type="dxa"/>
            <w:gridSpan w:val="2"/>
            <w:tcBorders>
              <w:left w:val="nil"/>
            </w:tcBorders>
          </w:tcPr>
          <w:p w:rsidR="006F7289" w:rsidRDefault="006F7289" w:rsidP="00321AFE">
            <w:pPr>
              <w:rPr>
                <w:b/>
                <w:sz w:val="22"/>
              </w:rPr>
            </w:pPr>
          </w:p>
        </w:tc>
      </w:tr>
    </w:tbl>
    <w:p w:rsidR="006F7289" w:rsidRDefault="006F7289" w:rsidP="006F7289">
      <w:pPr>
        <w:widowControl/>
      </w:pPr>
    </w:p>
    <w:p w:rsidR="006F7289" w:rsidRDefault="006F7289" w:rsidP="006F7289">
      <w:pPr>
        <w:widowControl/>
      </w:pPr>
      <w: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3"/>
        <w:gridCol w:w="2061"/>
      </w:tblGrid>
      <w:tr w:rsidR="006F7289" w:rsidTr="00321AFE">
        <w:tc>
          <w:tcPr>
            <w:tcW w:w="10344" w:type="dxa"/>
            <w:gridSpan w:val="2"/>
          </w:tcPr>
          <w:p w:rsidR="006F7289" w:rsidRDefault="006F7289" w:rsidP="00321AFE">
            <w:pPr>
              <w:rPr>
                <w:sz w:val="19"/>
              </w:rPr>
            </w:pPr>
            <w:r>
              <w:rPr>
                <w:noProof/>
                <w:sz w:val="19"/>
              </w:rPr>
              <w:lastRenderedPageBreak/>
              <w:drawing>
                <wp:inline distT="0" distB="0" distL="0" distR="0">
                  <wp:extent cx="6619875" cy="152400"/>
                  <wp:effectExtent l="0" t="0" r="9525" b="0"/>
                  <wp:docPr id="9" name="Obrázo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9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7289" w:rsidTr="00321AFE">
        <w:tc>
          <w:tcPr>
            <w:tcW w:w="8283" w:type="dxa"/>
          </w:tcPr>
          <w:p w:rsidR="006F7289" w:rsidRDefault="006F7289" w:rsidP="00321AFE">
            <w:pPr>
              <w:rPr>
                <w:sz w:val="19"/>
              </w:rPr>
            </w:pPr>
          </w:p>
        </w:tc>
        <w:tc>
          <w:tcPr>
            <w:tcW w:w="2061" w:type="dxa"/>
          </w:tcPr>
          <w:p w:rsidR="006F7289" w:rsidRDefault="006F7289" w:rsidP="00321AFE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Montážne</w:t>
            </w:r>
          </w:p>
          <w:p w:rsidR="006F7289" w:rsidRDefault="006F7289" w:rsidP="00321AFE">
            <w:r>
              <w:rPr>
                <w:b/>
                <w:sz w:val="32"/>
              </w:rPr>
              <w:t>pokyny</w:t>
            </w:r>
          </w:p>
          <w:p w:rsidR="006F7289" w:rsidRDefault="006F7289" w:rsidP="00321AFE">
            <w:pPr>
              <w:rPr>
                <w:sz w:val="32"/>
              </w:rPr>
            </w:pPr>
            <w:r>
              <w:rPr>
                <w:noProof/>
                <w:sz w:val="32"/>
              </w:rPr>
              <w:drawing>
                <wp:inline distT="0" distB="0" distL="0" distR="0">
                  <wp:extent cx="1390650" cy="104775"/>
                  <wp:effectExtent l="0" t="0" r="0" b="9525"/>
                  <wp:docPr id="8" name="Obrázo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7289" w:rsidTr="00321AFE">
        <w:tc>
          <w:tcPr>
            <w:tcW w:w="8283" w:type="dxa"/>
          </w:tcPr>
          <w:p w:rsidR="006F7289" w:rsidRDefault="006F7289" w:rsidP="00321AFE">
            <w:pPr>
              <w:rPr>
                <w:sz w:val="10"/>
              </w:rPr>
            </w:pPr>
          </w:p>
        </w:tc>
        <w:tc>
          <w:tcPr>
            <w:tcW w:w="2061" w:type="dxa"/>
          </w:tcPr>
          <w:p w:rsidR="006F7289" w:rsidRDefault="006F7289" w:rsidP="00321AFE">
            <w:pPr>
              <w:rPr>
                <w:b/>
                <w:sz w:val="10"/>
              </w:rPr>
            </w:pPr>
          </w:p>
        </w:tc>
      </w:tr>
    </w:tbl>
    <w:p w:rsidR="006F7289" w:rsidRDefault="006F7289" w:rsidP="006F7289">
      <w:pPr>
        <w:widowControl/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009"/>
        <w:gridCol w:w="303"/>
        <w:gridCol w:w="2061"/>
      </w:tblGrid>
      <w:tr w:rsidR="006F7289" w:rsidTr="00321AFE"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89" w:rsidRDefault="006F7289" w:rsidP="00321AF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629025" cy="3457575"/>
                  <wp:effectExtent l="0" t="0" r="9525" b="9525"/>
                  <wp:docPr id="7" name="Obrázok 7" descr="C:\IWKA-KOMP\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IWKA-KOMP\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9025" cy="345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" w:type="dxa"/>
            <w:tcBorders>
              <w:left w:val="nil"/>
              <w:right w:val="single" w:sz="6" w:space="0" w:color="auto"/>
            </w:tcBorders>
          </w:tcPr>
          <w:p w:rsidR="006F7289" w:rsidRDefault="006F7289" w:rsidP="00321AFE"/>
        </w:tc>
        <w:tc>
          <w:tcPr>
            <w:tcW w:w="2061" w:type="dxa"/>
            <w:tcBorders>
              <w:left w:val="nil"/>
            </w:tcBorders>
          </w:tcPr>
          <w:p w:rsidR="006F7289" w:rsidRDefault="006F7289" w:rsidP="00321AFE">
            <w:pPr>
              <w:rPr>
                <w:b/>
                <w:sz w:val="22"/>
              </w:rPr>
            </w:pPr>
          </w:p>
        </w:tc>
      </w:tr>
    </w:tbl>
    <w:p w:rsidR="006F7289" w:rsidRDefault="006F7289" w:rsidP="006F7289">
      <w:pPr>
        <w:rPr>
          <w:sz w:val="1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77"/>
        <w:gridCol w:w="3932"/>
        <w:gridCol w:w="303"/>
        <w:gridCol w:w="2061"/>
      </w:tblGrid>
      <w:tr w:rsidR="006F7289" w:rsidTr="00321AFE">
        <w:tc>
          <w:tcPr>
            <w:tcW w:w="4077" w:type="dxa"/>
          </w:tcPr>
          <w:p w:rsidR="006F7289" w:rsidRDefault="006F7289" w:rsidP="006F7289">
            <w:pPr>
              <w:numPr>
                <w:ilvl w:val="0"/>
                <w:numId w:val="2"/>
              </w:numPr>
              <w:tabs>
                <w:tab w:val="clear" w:pos="360"/>
              </w:tabs>
              <w:ind w:left="238" w:hanging="238"/>
              <w:rPr>
                <w:snapToGrid w:val="0"/>
                <w:color w:val="000000"/>
                <w:lang w:eastAsia="cs-CZ"/>
              </w:rPr>
            </w:pPr>
            <w:r>
              <w:rPr>
                <w:snapToGrid w:val="0"/>
                <w:color w:val="000000"/>
                <w:lang w:eastAsia="cs-CZ"/>
              </w:rPr>
              <w:t>Pri zmene smeru potrubia treba inštalovať hlavné pevné body.</w:t>
            </w:r>
          </w:p>
          <w:p w:rsidR="006F7289" w:rsidRDefault="006F7289" w:rsidP="006F7289">
            <w:pPr>
              <w:numPr>
                <w:ilvl w:val="0"/>
                <w:numId w:val="2"/>
              </w:numPr>
              <w:tabs>
                <w:tab w:val="clear" w:pos="360"/>
              </w:tabs>
              <w:ind w:left="238" w:hanging="238"/>
              <w:rPr>
                <w:snapToGrid w:val="0"/>
                <w:color w:val="000000"/>
                <w:lang w:eastAsia="cs-CZ"/>
              </w:rPr>
            </w:pPr>
            <w:r>
              <w:t>Každý úsek potrubia ktorý sa má kompenzovať treba vymedziť pevnými bodmi.</w:t>
            </w:r>
          </w:p>
          <w:p w:rsidR="006F7289" w:rsidRDefault="006F7289" w:rsidP="00321AFE">
            <w:pPr>
              <w:ind w:left="238" w:hanging="238"/>
              <w:rPr>
                <w:snapToGrid w:val="0"/>
                <w:color w:val="000000"/>
                <w:lang w:eastAsia="cs-CZ"/>
              </w:rPr>
            </w:pPr>
            <w:r>
              <w:rPr>
                <w:b/>
                <w:snapToGrid w:val="0"/>
                <w:color w:val="000000"/>
                <w:lang w:eastAsia="cs-CZ"/>
              </w:rPr>
              <w:t xml:space="preserve">– </w:t>
            </w:r>
            <w:r>
              <w:t>Medzi dvomi pevnými bodmi sa smie zabudovať vždy iba jeden kompenzátor</w:t>
            </w:r>
            <w:r>
              <w:rPr>
                <w:snapToGrid w:val="0"/>
                <w:color w:val="000000"/>
                <w:lang w:eastAsia="cs-CZ"/>
              </w:rPr>
              <w:t>.</w:t>
            </w:r>
          </w:p>
          <w:p w:rsidR="006F7289" w:rsidRDefault="006F7289" w:rsidP="00321AFE">
            <w:pPr>
              <w:ind w:left="238" w:hanging="238"/>
            </w:pPr>
            <w:r>
              <w:rPr>
                <w:b/>
                <w:snapToGrid w:val="0"/>
                <w:color w:val="000000"/>
                <w:lang w:eastAsia="cs-CZ"/>
              </w:rPr>
              <w:t xml:space="preserve">– </w:t>
            </w:r>
            <w:r>
              <w:t>Smerové odchýlky zadržia hlavné pevné body. Ich úlohou je zachytiť reakčné tlakové sily kompenzátorov a trecie sily axiálnych vodiacich uložení</w:t>
            </w:r>
            <w:r>
              <w:rPr>
                <w:snapToGrid w:val="0"/>
                <w:color w:val="000000"/>
                <w:lang w:eastAsia="cs-CZ"/>
              </w:rPr>
              <w:t>.</w:t>
            </w:r>
          </w:p>
        </w:tc>
        <w:tc>
          <w:tcPr>
            <w:tcW w:w="4235" w:type="dxa"/>
            <w:gridSpan w:val="2"/>
            <w:tcBorders>
              <w:right w:val="single" w:sz="6" w:space="0" w:color="auto"/>
            </w:tcBorders>
          </w:tcPr>
          <w:p w:rsidR="006F7289" w:rsidRDefault="006F7289" w:rsidP="006F7289">
            <w:pPr>
              <w:numPr>
                <w:ilvl w:val="0"/>
                <w:numId w:val="3"/>
              </w:numPr>
              <w:tabs>
                <w:tab w:val="clear" w:pos="360"/>
              </w:tabs>
              <w:ind w:left="192" w:hanging="192"/>
              <w:rPr>
                <w:snapToGrid w:val="0"/>
                <w:color w:val="000000"/>
                <w:lang w:eastAsia="cs-CZ"/>
              </w:rPr>
            </w:pPr>
            <w:r>
              <w:t xml:space="preserve">Medziľahlé pevné body sú potrebné vtedy, keď na zachytenie vznikajúcich dilatácií dlhých úsekov potrubí už nepostačuje zabudovanie axiálneho kompenzátora a sú potrebné viaceré axiálne kompenzátory. </w:t>
            </w:r>
          </w:p>
          <w:p w:rsidR="006F7289" w:rsidRDefault="006F7289" w:rsidP="00321AFE">
            <w:pPr>
              <w:ind w:left="192" w:hanging="192"/>
              <w:rPr>
                <w:snapToGrid w:val="0"/>
                <w:color w:val="000000"/>
                <w:lang w:eastAsia="cs-CZ"/>
              </w:rPr>
            </w:pPr>
            <w:r>
              <w:rPr>
                <w:b/>
                <w:snapToGrid w:val="0"/>
                <w:color w:val="000000"/>
                <w:lang w:eastAsia="cs-CZ"/>
              </w:rPr>
              <w:t xml:space="preserve">– </w:t>
            </w:r>
            <w:r>
              <w:t>Pri prevádzke s podtlakom musia byť pevné body vhodné na zachytenia ťahových a tlakových síl.</w:t>
            </w:r>
          </w:p>
          <w:p w:rsidR="006F7289" w:rsidRDefault="006F7289" w:rsidP="00321AFE"/>
        </w:tc>
        <w:tc>
          <w:tcPr>
            <w:tcW w:w="2061" w:type="dxa"/>
            <w:tcBorders>
              <w:left w:val="nil"/>
            </w:tcBorders>
          </w:tcPr>
          <w:p w:rsidR="006F7289" w:rsidRDefault="006F7289" w:rsidP="00321AF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Pevné body</w:t>
            </w:r>
          </w:p>
        </w:tc>
      </w:tr>
      <w:tr w:rsidR="006F7289" w:rsidTr="00321AFE">
        <w:tc>
          <w:tcPr>
            <w:tcW w:w="8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89" w:rsidRDefault="006F7289" w:rsidP="00321AFE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4991100" cy="3209925"/>
                  <wp:effectExtent l="0" t="0" r="0" b="9525"/>
                  <wp:docPr id="6" name="Obrázok 6" descr="C:\IWKA-KOMP\13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IWKA-KOMP\13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0" cy="320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7289" w:rsidRDefault="006F7289" w:rsidP="00321AFE">
            <w:pPr>
              <w:jc w:val="center"/>
            </w:pPr>
          </w:p>
        </w:tc>
        <w:tc>
          <w:tcPr>
            <w:tcW w:w="303" w:type="dxa"/>
            <w:tcBorders>
              <w:left w:val="nil"/>
              <w:right w:val="single" w:sz="6" w:space="0" w:color="auto"/>
            </w:tcBorders>
          </w:tcPr>
          <w:p w:rsidR="006F7289" w:rsidRDefault="006F7289" w:rsidP="00321AFE"/>
        </w:tc>
        <w:tc>
          <w:tcPr>
            <w:tcW w:w="2061" w:type="dxa"/>
            <w:tcBorders>
              <w:left w:val="nil"/>
            </w:tcBorders>
          </w:tcPr>
          <w:p w:rsidR="006F7289" w:rsidRDefault="006F7289" w:rsidP="00321AFE">
            <w:pPr>
              <w:rPr>
                <w:b/>
                <w:sz w:val="22"/>
              </w:rPr>
            </w:pPr>
          </w:p>
        </w:tc>
      </w:tr>
    </w:tbl>
    <w:p w:rsidR="006F7289" w:rsidRDefault="006F7289" w:rsidP="006F7289">
      <w:pPr>
        <w:widowControl/>
        <w:rPr>
          <w:sz w:val="2"/>
        </w:rPr>
      </w:pPr>
      <w:r>
        <w:br w:type="page"/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338"/>
        <w:gridCol w:w="8008"/>
      </w:tblGrid>
      <w:tr w:rsidR="006F7289" w:rsidTr="00321AFE">
        <w:tc>
          <w:tcPr>
            <w:tcW w:w="10346" w:type="dxa"/>
            <w:gridSpan w:val="2"/>
          </w:tcPr>
          <w:p w:rsidR="006F7289" w:rsidRDefault="006F7289" w:rsidP="00321AFE">
            <w:pPr>
              <w:pStyle w:val="Hlavika"/>
              <w:rPr>
                <w:sz w:val="10"/>
              </w:rPr>
            </w:pPr>
            <w:r>
              <w:rPr>
                <w:noProof/>
                <w:sz w:val="10"/>
              </w:rPr>
              <w:lastRenderedPageBreak/>
              <w:drawing>
                <wp:inline distT="0" distB="0" distL="0" distR="0">
                  <wp:extent cx="6477000" cy="152400"/>
                  <wp:effectExtent l="0" t="0" r="0" b="0"/>
                  <wp:docPr id="5" name="Obrázo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7289" w:rsidTr="00321AFE">
        <w:tblPrEx>
          <w:tblCellMar>
            <w:left w:w="70" w:type="dxa"/>
            <w:right w:w="70" w:type="dxa"/>
          </w:tblCellMar>
        </w:tblPrEx>
        <w:tc>
          <w:tcPr>
            <w:tcW w:w="2338" w:type="dxa"/>
          </w:tcPr>
          <w:p w:rsidR="006F7289" w:rsidRDefault="006F7289" w:rsidP="00321AFE">
            <w:pPr>
              <w:rPr>
                <w:b/>
                <w:sz w:val="31"/>
              </w:rPr>
            </w:pPr>
            <w:r>
              <w:rPr>
                <w:b/>
                <w:sz w:val="31"/>
              </w:rPr>
              <w:t xml:space="preserve">Montážne </w:t>
            </w:r>
          </w:p>
          <w:p w:rsidR="006F7289" w:rsidRDefault="006F7289" w:rsidP="00321AFE">
            <w:pPr>
              <w:pStyle w:val="Hlavika"/>
              <w:rPr>
                <w:sz w:val="19"/>
              </w:rPr>
            </w:pPr>
            <w:r>
              <w:rPr>
                <w:b/>
                <w:sz w:val="31"/>
              </w:rPr>
              <w:t xml:space="preserve">pokyny </w:t>
            </w:r>
            <w:r>
              <w:rPr>
                <w:b/>
                <w:noProof/>
                <w:sz w:val="31"/>
              </w:rPr>
              <w:drawing>
                <wp:inline distT="0" distB="0" distL="0" distR="0">
                  <wp:extent cx="1400175" cy="104775"/>
                  <wp:effectExtent l="0" t="0" r="9525" b="9525"/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8" w:type="dxa"/>
          </w:tcPr>
          <w:p w:rsidR="006F7289" w:rsidRDefault="006F7289" w:rsidP="00321AFE">
            <w:pPr>
              <w:pStyle w:val="Hlavika"/>
              <w:rPr>
                <w:sz w:val="19"/>
              </w:rPr>
            </w:pPr>
          </w:p>
        </w:tc>
      </w:tr>
      <w:tr w:rsidR="006F7289" w:rsidTr="00321AFE">
        <w:tblPrEx>
          <w:tblCellMar>
            <w:left w:w="70" w:type="dxa"/>
            <w:right w:w="70" w:type="dxa"/>
          </w:tblCellMar>
        </w:tblPrEx>
        <w:tc>
          <w:tcPr>
            <w:tcW w:w="2338" w:type="dxa"/>
          </w:tcPr>
          <w:p w:rsidR="006F7289" w:rsidRDefault="006F7289" w:rsidP="00321AFE">
            <w:pPr>
              <w:rPr>
                <w:b/>
                <w:sz w:val="10"/>
              </w:rPr>
            </w:pPr>
          </w:p>
        </w:tc>
        <w:tc>
          <w:tcPr>
            <w:tcW w:w="8008" w:type="dxa"/>
          </w:tcPr>
          <w:p w:rsidR="006F7289" w:rsidRDefault="006F7289" w:rsidP="00321AFE">
            <w:pPr>
              <w:pStyle w:val="Hlavika"/>
              <w:rPr>
                <w:sz w:val="10"/>
              </w:rPr>
            </w:pPr>
          </w:p>
        </w:tc>
      </w:tr>
    </w:tbl>
    <w:p w:rsidR="006F7289" w:rsidRDefault="006F7289" w:rsidP="006F7289"/>
    <w:p w:rsidR="006F7289" w:rsidRDefault="006F7289" w:rsidP="006F7289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60"/>
        <w:gridCol w:w="3844"/>
        <w:gridCol w:w="4004"/>
      </w:tblGrid>
      <w:tr w:rsidR="006F7289" w:rsidTr="00321AFE">
        <w:tc>
          <w:tcPr>
            <w:tcW w:w="2338" w:type="dxa"/>
          </w:tcPr>
          <w:p w:rsidR="006F7289" w:rsidRDefault="006F7289" w:rsidP="00321AFE">
            <w:pPr>
              <w:ind w:right="71"/>
              <w:jc w:val="right"/>
              <w:rPr>
                <w:b/>
                <w:sz w:val="22"/>
              </w:rPr>
            </w:pPr>
          </w:p>
        </w:tc>
        <w:tc>
          <w:tcPr>
            <w:tcW w:w="160" w:type="dxa"/>
            <w:tcBorders>
              <w:left w:val="single" w:sz="6" w:space="0" w:color="auto"/>
            </w:tcBorders>
          </w:tcPr>
          <w:p w:rsidR="006F7289" w:rsidRDefault="006F7289" w:rsidP="00321AFE">
            <w:pPr>
              <w:pStyle w:val="Hlavika"/>
            </w:pPr>
          </w:p>
        </w:tc>
        <w:tc>
          <w:tcPr>
            <w:tcW w:w="7848" w:type="dxa"/>
            <w:gridSpan w:val="2"/>
          </w:tcPr>
          <w:p w:rsidR="006F7289" w:rsidRDefault="006F7289" w:rsidP="00321AFE">
            <w:pPr>
              <w:pStyle w:val="Hlavika"/>
              <w:ind w:left="-8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48225" cy="1962150"/>
                  <wp:effectExtent l="0" t="0" r="9525" b="0"/>
                  <wp:docPr id="3" name="Obrázok 3" descr="C:\IWKA-KOMP\14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IWKA-KOMP\14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8225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7289" w:rsidRDefault="006F7289" w:rsidP="00321AFE">
            <w:pPr>
              <w:pStyle w:val="Hlavika"/>
              <w:ind w:left="-88"/>
              <w:jc w:val="center"/>
            </w:pPr>
          </w:p>
        </w:tc>
      </w:tr>
      <w:tr w:rsidR="006F7289" w:rsidTr="00321AFE">
        <w:tc>
          <w:tcPr>
            <w:tcW w:w="2338" w:type="dxa"/>
          </w:tcPr>
          <w:p w:rsidR="006F7289" w:rsidRDefault="006F7289" w:rsidP="00321AFE">
            <w:pPr>
              <w:ind w:right="7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Kompenzácia</w:t>
            </w:r>
            <w:r>
              <w:rPr>
                <w:b/>
                <w:sz w:val="22"/>
              </w:rPr>
              <w:br/>
              <w:t>vibrácií</w:t>
            </w:r>
          </w:p>
        </w:tc>
        <w:tc>
          <w:tcPr>
            <w:tcW w:w="4004" w:type="dxa"/>
            <w:gridSpan w:val="2"/>
            <w:tcBorders>
              <w:left w:val="single" w:sz="6" w:space="0" w:color="auto"/>
            </w:tcBorders>
          </w:tcPr>
          <w:p w:rsidR="006F7289" w:rsidRDefault="006F7289" w:rsidP="006F7289">
            <w:pPr>
              <w:pStyle w:val="Hlavika"/>
              <w:numPr>
                <w:ilvl w:val="0"/>
                <w:numId w:val="4"/>
              </w:numPr>
              <w:tabs>
                <w:tab w:val="clear" w:pos="360"/>
                <w:tab w:val="num" w:pos="214"/>
              </w:tabs>
              <w:ind w:left="214" w:hanging="214"/>
            </w:pPr>
            <w:r>
              <w:t>Kompenzátor treba namontovať podľa možnosti priamo na kmitajúci agregát.</w:t>
            </w:r>
          </w:p>
          <w:p w:rsidR="006F7289" w:rsidRDefault="006F7289" w:rsidP="006F7289">
            <w:pPr>
              <w:pStyle w:val="Hlavika"/>
              <w:numPr>
                <w:ilvl w:val="0"/>
                <w:numId w:val="4"/>
              </w:numPr>
              <w:tabs>
                <w:tab w:val="clear" w:pos="360"/>
                <w:tab w:val="num" w:pos="214"/>
              </w:tabs>
              <w:ind w:left="214" w:hanging="214"/>
            </w:pPr>
            <w:r>
              <w:t>Priamo za kompenzátorom treba umiestniť pevný bod. Montáž kompenzátora je bez predpätia.</w:t>
            </w:r>
          </w:p>
          <w:p w:rsidR="006F7289" w:rsidRDefault="006F7289" w:rsidP="00321AFE">
            <w:pPr>
              <w:pStyle w:val="Hlavika"/>
            </w:pPr>
          </w:p>
          <w:p w:rsidR="006F7289" w:rsidRDefault="006F7289" w:rsidP="00321AFE">
            <w:pPr>
              <w:rPr>
                <w:rFonts w:ascii="Helvetica" w:hAnsi="Helvetica"/>
                <w:snapToGrid w:val="0"/>
                <w:color w:val="000000"/>
                <w:lang w:eastAsia="cs-CZ"/>
              </w:rPr>
            </w:pPr>
          </w:p>
          <w:p w:rsidR="006F7289" w:rsidRDefault="006F7289" w:rsidP="00321AFE">
            <w:pPr>
              <w:rPr>
                <w:rFonts w:ascii="Helvetica-Bold" w:hAnsi="Helvetica-Bold"/>
                <w:b/>
                <w:snapToGrid w:val="0"/>
                <w:color w:val="000000"/>
                <w:lang w:eastAsia="cs-CZ"/>
              </w:rPr>
            </w:pPr>
            <w:r>
              <w:rPr>
                <w:rFonts w:ascii="Helvetica-Bold" w:hAnsi="Helvetica-Bold"/>
                <w:b/>
                <w:snapToGrid w:val="0"/>
                <w:color w:val="000000"/>
                <w:lang w:eastAsia="cs-CZ"/>
              </w:rPr>
              <w:t>POZNÁMKA</w:t>
            </w:r>
          </w:p>
          <w:p w:rsidR="006F7289" w:rsidRDefault="006F7289" w:rsidP="00321AFE">
            <w:pPr>
              <w:rPr>
                <w:rFonts w:ascii="Wingdings" w:hAnsi="Wingdings"/>
                <w:snapToGrid w:val="0"/>
                <w:color w:val="000000"/>
                <w:lang w:eastAsia="cs-CZ"/>
              </w:rPr>
            </w:pPr>
            <w:r>
              <w:rPr>
                <w:rFonts w:ascii="Helvetica" w:hAnsi="Helvetica"/>
                <w:snapToGrid w:val="0"/>
                <w:color w:val="000000"/>
                <w:lang w:eastAsia="cs-CZ"/>
              </w:rPr>
              <w:t>Pri použití tlmičov vibrácií bez predpätia treba zohľadniť aj reakčnú silu.</w:t>
            </w:r>
          </w:p>
          <w:p w:rsidR="006F7289" w:rsidRDefault="006F7289" w:rsidP="00321AFE">
            <w:pPr>
              <w:pStyle w:val="Hlavika"/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89" w:rsidRDefault="006F7289" w:rsidP="00321AFE">
            <w:pPr>
              <w:pStyle w:val="Hlavika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57450" cy="2305050"/>
                  <wp:effectExtent l="0" t="0" r="0" b="0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230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7289" w:rsidTr="00321AFE">
        <w:tc>
          <w:tcPr>
            <w:tcW w:w="2338" w:type="dxa"/>
          </w:tcPr>
          <w:p w:rsidR="006F7289" w:rsidRDefault="006F7289" w:rsidP="00321AFE">
            <w:pPr>
              <w:ind w:right="71"/>
              <w:jc w:val="right"/>
              <w:rPr>
                <w:sz w:val="10"/>
              </w:rPr>
            </w:pPr>
          </w:p>
        </w:tc>
        <w:tc>
          <w:tcPr>
            <w:tcW w:w="4004" w:type="dxa"/>
            <w:gridSpan w:val="2"/>
            <w:tcBorders>
              <w:left w:val="single" w:sz="6" w:space="0" w:color="auto"/>
            </w:tcBorders>
          </w:tcPr>
          <w:p w:rsidR="006F7289" w:rsidRDefault="006F7289" w:rsidP="00321AFE">
            <w:pPr>
              <w:pStyle w:val="Hlavika"/>
              <w:rPr>
                <w:rFonts w:ascii="Helvetica-Bold" w:hAnsi="Helvetica-Bold"/>
                <w:snapToGrid w:val="0"/>
                <w:color w:val="000000"/>
                <w:sz w:val="10"/>
                <w:lang w:eastAsia="cs-CZ"/>
              </w:rPr>
            </w:pPr>
          </w:p>
        </w:tc>
        <w:tc>
          <w:tcPr>
            <w:tcW w:w="4004" w:type="dxa"/>
          </w:tcPr>
          <w:p w:rsidR="006F7289" w:rsidRDefault="006F7289" w:rsidP="00321AFE">
            <w:pPr>
              <w:pStyle w:val="Hlavika"/>
              <w:rPr>
                <w:sz w:val="10"/>
              </w:rPr>
            </w:pPr>
          </w:p>
        </w:tc>
      </w:tr>
      <w:tr w:rsidR="006F7289" w:rsidTr="00321AFE">
        <w:tc>
          <w:tcPr>
            <w:tcW w:w="2338" w:type="dxa"/>
          </w:tcPr>
          <w:p w:rsidR="006F7289" w:rsidRDefault="006F7289" w:rsidP="00321AFE">
            <w:pPr>
              <w:ind w:right="7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Dilatačná</w:t>
            </w:r>
          </w:p>
          <w:p w:rsidR="006F7289" w:rsidRDefault="006F7289" w:rsidP="00321AFE">
            <w:pPr>
              <w:ind w:right="7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schopnosť</w:t>
            </w:r>
          </w:p>
        </w:tc>
        <w:tc>
          <w:tcPr>
            <w:tcW w:w="4004" w:type="dxa"/>
            <w:gridSpan w:val="2"/>
            <w:tcBorders>
              <w:left w:val="single" w:sz="6" w:space="0" w:color="auto"/>
            </w:tcBorders>
          </w:tcPr>
          <w:p w:rsidR="006F7289" w:rsidRDefault="006F7289" w:rsidP="00321AFE">
            <w:pPr>
              <w:pStyle w:val="Hlavika"/>
            </w:pPr>
            <w:r>
              <w:rPr>
                <w:rFonts w:ascii="Helvetica-Bold" w:hAnsi="Helvetica-Bold"/>
                <w:b/>
                <w:snapToGrid w:val="0"/>
                <w:color w:val="000000"/>
                <w:lang w:eastAsia="cs-CZ"/>
              </w:rPr>
              <w:t>POZNÁMKA</w:t>
            </w:r>
          </w:p>
          <w:p w:rsidR="006F7289" w:rsidRDefault="006F7289" w:rsidP="00321AFE">
            <w:pPr>
              <w:pStyle w:val="Hlavika"/>
            </w:pPr>
            <w:r>
              <w:t>Maximálna dovolená dilatačná schopnosť je uvedená na kompenzátore. Vzťahuje sa na 1000 cyklov zmeny zaťaženia. Pri častejších zmenách teploty treba dilatáciu kompenzátora redukovať koeficientom cyklov zaťaženia K</w:t>
            </w:r>
            <w:r>
              <w:rPr>
                <w:vertAlign w:val="subscript"/>
              </w:rPr>
              <w:t>L</w:t>
            </w:r>
            <w:r>
              <w:t xml:space="preserve"> podľa tabuľky.</w:t>
            </w:r>
            <w:r>
              <w:br/>
              <w:t xml:space="preserve">Pri zachytení laterálnej dilatácie treba dbať na údaj maximálnej laterálnej dilatácie v technických katalógových listoch. </w:t>
            </w:r>
          </w:p>
          <w:p w:rsidR="006F7289" w:rsidRDefault="006F7289" w:rsidP="00321AFE">
            <w:pPr>
              <w:pStyle w:val="Hlavika"/>
            </w:pPr>
          </w:p>
          <w:p w:rsidR="006F7289" w:rsidRDefault="006F7289" w:rsidP="00321AFE">
            <w:pPr>
              <w:pStyle w:val="Hlavika"/>
            </w:pPr>
          </w:p>
          <w:p w:rsidR="006F7289" w:rsidRDefault="006F7289" w:rsidP="00321AFE">
            <w:pPr>
              <w:pStyle w:val="Hlavika"/>
            </w:pPr>
          </w:p>
          <w:p w:rsidR="006F7289" w:rsidRDefault="006F7289" w:rsidP="00321AFE">
            <w:pPr>
              <w:pStyle w:val="Hlavika"/>
            </w:pPr>
          </w:p>
          <w:p w:rsidR="006F7289" w:rsidRDefault="006F7289" w:rsidP="00321AFE">
            <w:pPr>
              <w:pStyle w:val="Hlavika"/>
            </w:pPr>
          </w:p>
          <w:p w:rsidR="006F7289" w:rsidRDefault="006F7289" w:rsidP="00321AFE">
            <w:pPr>
              <w:pStyle w:val="Hlavika"/>
            </w:pPr>
          </w:p>
          <w:p w:rsidR="006F7289" w:rsidRDefault="006F7289" w:rsidP="00321AFE">
            <w:pPr>
              <w:pStyle w:val="Hlavika"/>
            </w:pPr>
          </w:p>
          <w:p w:rsidR="006F7289" w:rsidRDefault="006F7289" w:rsidP="00321AFE">
            <w:pPr>
              <w:pStyle w:val="Hlavika"/>
            </w:pPr>
          </w:p>
        </w:tc>
        <w:tc>
          <w:tcPr>
            <w:tcW w:w="4004" w:type="dxa"/>
          </w:tcPr>
          <w:p w:rsidR="006F7289" w:rsidRDefault="006F7289" w:rsidP="00321AFE">
            <w:pPr>
              <w:pStyle w:val="Hlavika"/>
            </w:pPr>
            <w:r>
              <w:rPr>
                <w:b/>
              </w:rPr>
              <w:t>Koeficient cyklov zaťaženia K</w:t>
            </w:r>
            <w:r>
              <w:rPr>
                <w:b/>
                <w:vertAlign w:val="subscript"/>
              </w:rPr>
              <w:t>L</w:t>
            </w:r>
            <w:r>
              <w:rPr>
                <w:b/>
              </w:rPr>
              <w:t xml:space="preserve"> </w:t>
            </w:r>
          </w:p>
          <w:p w:rsidR="006F7289" w:rsidRDefault="006F7289" w:rsidP="00321AFE">
            <w:pPr>
              <w:pStyle w:val="Hlavika"/>
            </w:pPr>
            <w:r>
              <w:rPr>
                <w:noProof/>
              </w:rPr>
              <w:drawing>
                <wp:inline distT="0" distB="0" distL="0" distR="0">
                  <wp:extent cx="2447925" cy="2657475"/>
                  <wp:effectExtent l="0" t="0" r="9525" b="9525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265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7289" w:rsidTr="00321AFE">
        <w:trPr>
          <w:cantSplit/>
        </w:trPr>
        <w:tc>
          <w:tcPr>
            <w:tcW w:w="2338" w:type="dxa"/>
          </w:tcPr>
          <w:p w:rsidR="006F7289" w:rsidRDefault="006F7289" w:rsidP="00321AFE">
            <w:pPr>
              <w:jc w:val="right"/>
            </w:pPr>
            <w:r>
              <w:rPr>
                <w:b/>
                <w:sz w:val="22"/>
              </w:rPr>
              <w:lastRenderedPageBreak/>
              <w:t>Prevádzkový tlak</w:t>
            </w:r>
          </w:p>
          <w:p w:rsidR="006F7289" w:rsidRDefault="006F7289" w:rsidP="00321AFE"/>
          <w:p w:rsidR="006F7289" w:rsidRDefault="006F7289" w:rsidP="00321AFE"/>
        </w:tc>
        <w:tc>
          <w:tcPr>
            <w:tcW w:w="4004" w:type="dxa"/>
            <w:gridSpan w:val="2"/>
            <w:tcBorders>
              <w:left w:val="single" w:sz="6" w:space="0" w:color="auto"/>
            </w:tcBorders>
          </w:tcPr>
          <w:p w:rsidR="006F7289" w:rsidRDefault="006F7289" w:rsidP="00321AFE">
            <w:pPr>
              <w:pStyle w:val="Hlavika"/>
            </w:pPr>
            <w:r>
              <w:rPr>
                <w:b/>
                <w:snapToGrid w:val="0"/>
                <w:color w:val="000000"/>
                <w:lang w:eastAsia="cs-CZ"/>
              </w:rPr>
              <w:t>POZNÁMKA</w:t>
            </w:r>
          </w:p>
          <w:p w:rsidR="006F7289" w:rsidRDefault="006F7289" w:rsidP="00321AFE">
            <w:pPr>
              <w:pStyle w:val="Zkladntext2"/>
              <w:rPr>
                <w:lang w:val="sk-SK"/>
              </w:rPr>
            </w:pPr>
            <w:r>
              <w:rPr>
                <w:lang w:val="sk-SK"/>
              </w:rPr>
              <w:t xml:space="preserve">Dovolený prevádzkový tlak vyplýva z menovitého tlaku pri zohľadnení redukčných koeficientov podľa dokumentácie </w:t>
            </w:r>
            <w:r>
              <w:rPr>
                <w:lang w:val="sk-SK"/>
              </w:rPr>
              <w:br/>
              <w:t>„Axiálne kompenzátory – Technické údaje“</w:t>
            </w:r>
          </w:p>
        </w:tc>
        <w:tc>
          <w:tcPr>
            <w:tcW w:w="4004" w:type="dxa"/>
            <w:tcBorders>
              <w:left w:val="nil"/>
            </w:tcBorders>
          </w:tcPr>
          <w:p w:rsidR="006F7289" w:rsidRDefault="006F7289" w:rsidP="006F7289">
            <w:pPr>
              <w:numPr>
                <w:ilvl w:val="0"/>
                <w:numId w:val="5"/>
              </w:numPr>
              <w:rPr>
                <w:snapToGrid w:val="0"/>
                <w:color w:val="000000"/>
                <w:lang w:eastAsia="cs-CZ"/>
              </w:rPr>
            </w:pPr>
            <w:r>
              <w:t>Pri vyšších teplotách treba menovitý tlak redukovať prostredníctvom koeficientov v technickej dokumentácii.</w:t>
            </w:r>
            <w:r>
              <w:rPr>
                <w:snapToGrid w:val="0"/>
                <w:color w:val="000000"/>
                <w:lang w:eastAsia="cs-CZ"/>
              </w:rPr>
              <w:t>.</w:t>
            </w:r>
          </w:p>
          <w:p w:rsidR="006F7289" w:rsidRDefault="006F7289" w:rsidP="00321AFE">
            <w:pPr>
              <w:pStyle w:val="Hlavika"/>
            </w:pPr>
          </w:p>
          <w:p w:rsidR="006F7289" w:rsidRDefault="006F7289" w:rsidP="00321AFE">
            <w:pPr>
              <w:pStyle w:val="Hlavika"/>
            </w:pPr>
          </w:p>
        </w:tc>
      </w:tr>
    </w:tbl>
    <w:p w:rsidR="00AD1B83" w:rsidRDefault="006F7289">
      <w:r>
        <w:br w:type="page"/>
      </w:r>
    </w:p>
    <w:sectPr w:rsidR="00AD1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82E6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EA6C2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AA778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E2F06E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D924642"/>
    <w:multiLevelType w:val="singleLevel"/>
    <w:tmpl w:val="473296A8"/>
    <w:lvl w:ilvl="0">
      <w:start w:val="24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89"/>
    <w:rsid w:val="00527B74"/>
    <w:rsid w:val="006F7289"/>
    <w:rsid w:val="00AA4CA9"/>
    <w:rsid w:val="00AD1B83"/>
    <w:rsid w:val="00F0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61C63-0DF3-436F-B28B-BB186C90B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F7289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rsid w:val="006F7289"/>
    <w:pPr>
      <w:widowControl/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semiHidden/>
    <w:rsid w:val="006F7289"/>
    <w:rPr>
      <w:rFonts w:ascii="Arial" w:eastAsia="Times New Roman" w:hAnsi="Arial" w:cs="Times New Roman"/>
      <w:sz w:val="20"/>
      <w:szCs w:val="20"/>
      <w:lang w:eastAsia="sk-SK"/>
    </w:rPr>
  </w:style>
  <w:style w:type="paragraph" w:styleId="Zkladntext2">
    <w:name w:val="Body Text 2"/>
    <w:basedOn w:val="Normlny"/>
    <w:link w:val="Zkladntext2Char"/>
    <w:semiHidden/>
    <w:rsid w:val="006F7289"/>
    <w:rPr>
      <w:snapToGrid w:val="0"/>
      <w:color w:val="000000"/>
      <w:lang w:val="cs-CZ" w:eastAsia="cs-CZ"/>
    </w:rPr>
  </w:style>
  <w:style w:type="character" w:customStyle="1" w:styleId="Zkladntext2Char">
    <w:name w:val="Základný text 2 Char"/>
    <w:basedOn w:val="Predvolenpsmoodseku"/>
    <w:link w:val="Zkladntext2"/>
    <w:semiHidden/>
    <w:rsid w:val="006F7289"/>
    <w:rPr>
      <w:rFonts w:ascii="Arial" w:eastAsia="Times New Roman" w:hAnsi="Arial" w:cs="Times New Roman"/>
      <w:snapToGrid w:val="0"/>
      <w:color w:val="000000"/>
      <w:sz w:val="20"/>
      <w:szCs w:val="20"/>
      <w:lang w:val="cs-CZ" w:eastAsia="cs-CZ"/>
    </w:rPr>
  </w:style>
  <w:style w:type="character" w:styleId="Hypertextovprepojenie">
    <w:name w:val="Hyperlink"/>
    <w:semiHidden/>
    <w:rsid w:val="00F059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rkg.sk/" TargetMode="External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rkg@rkg.sk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8.jpe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Krajcovic</dc:creator>
  <cp:keywords/>
  <dc:description/>
  <cp:lastModifiedBy>Jozef Krajcovic</cp:lastModifiedBy>
  <cp:revision>3</cp:revision>
  <dcterms:created xsi:type="dcterms:W3CDTF">2015-10-27T09:43:00Z</dcterms:created>
  <dcterms:modified xsi:type="dcterms:W3CDTF">2016-12-01T09:53:00Z</dcterms:modified>
</cp:coreProperties>
</file>